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1B5" w:rsidRPr="00175141" w:rsidRDefault="00BC61B5" w:rsidP="00FC7234">
      <w:pPr>
        <w:spacing w:after="0"/>
        <w:jc w:val="center"/>
        <w:rPr>
          <w:rFonts w:ascii="Cambria" w:hAnsi="Cambria"/>
          <w:b/>
          <w:smallCaps/>
          <w:sz w:val="28"/>
          <w:szCs w:val="28"/>
        </w:rPr>
      </w:pPr>
      <w:bookmarkStart w:id="0" w:name="_GoBack"/>
      <w:bookmarkEnd w:id="0"/>
      <w:r w:rsidRPr="00175141">
        <w:rPr>
          <w:rFonts w:ascii="Cambria" w:hAnsi="Cambria"/>
          <w:b/>
          <w:smallCaps/>
          <w:sz w:val="28"/>
          <w:szCs w:val="28"/>
        </w:rPr>
        <w:t>Persmededeling</w:t>
      </w:r>
      <w:r w:rsidR="00175141">
        <w:rPr>
          <w:rFonts w:ascii="Cambria" w:hAnsi="Cambria"/>
          <w:b/>
          <w:smallCaps/>
          <w:sz w:val="28"/>
          <w:szCs w:val="28"/>
        </w:rPr>
        <w:t xml:space="preserve">: Het Comité </w:t>
      </w:r>
      <w:r w:rsidR="00D117F8">
        <w:rPr>
          <w:rFonts w:ascii="Cambria" w:hAnsi="Cambria"/>
          <w:b/>
          <w:smallCaps/>
          <w:sz w:val="28"/>
          <w:szCs w:val="28"/>
        </w:rPr>
        <w:t>T</w:t>
      </w:r>
      <w:r w:rsidR="00175141">
        <w:rPr>
          <w:rFonts w:ascii="Cambria" w:hAnsi="Cambria"/>
          <w:b/>
          <w:smallCaps/>
          <w:sz w:val="28"/>
          <w:szCs w:val="28"/>
        </w:rPr>
        <w:t xml:space="preserve"> presenteert zijn verslag</w:t>
      </w:r>
    </w:p>
    <w:p w:rsidR="00175141" w:rsidRDefault="00175141" w:rsidP="00175141">
      <w:pPr>
        <w:spacing w:after="0"/>
        <w:jc w:val="both"/>
        <w:rPr>
          <w:rFonts w:ascii="Cambria" w:hAnsi="Cambria"/>
        </w:rPr>
      </w:pPr>
    </w:p>
    <w:p w:rsidR="00A1795C" w:rsidRDefault="00A1795C" w:rsidP="00175141">
      <w:pPr>
        <w:spacing w:after="0"/>
        <w:jc w:val="both"/>
        <w:rPr>
          <w:rFonts w:ascii="Cambria" w:hAnsi="Cambria"/>
        </w:rPr>
      </w:pPr>
      <w:r w:rsidRPr="00175141">
        <w:rPr>
          <w:rFonts w:ascii="Cambria" w:hAnsi="Cambria"/>
        </w:rPr>
        <w:t>Vandaag, dinsdag 12 maart</w:t>
      </w:r>
      <w:r w:rsidR="00506CF5">
        <w:rPr>
          <w:rFonts w:ascii="Cambria" w:hAnsi="Cambria"/>
        </w:rPr>
        <w:t xml:space="preserve"> 2020</w:t>
      </w:r>
      <w:r w:rsidRPr="00175141">
        <w:rPr>
          <w:rFonts w:ascii="Cambria" w:hAnsi="Cambria"/>
        </w:rPr>
        <w:t>, stelde</w:t>
      </w:r>
      <w:r w:rsidR="00BC61B5" w:rsidRPr="00175141">
        <w:rPr>
          <w:rFonts w:ascii="Cambria" w:hAnsi="Cambria"/>
        </w:rPr>
        <w:t xml:space="preserve"> het Comité voor de waakzaamheid op het gebied van de strijd tegen terrorisme (</w:t>
      </w:r>
      <w:r w:rsidR="003F2D40">
        <w:rPr>
          <w:rFonts w:ascii="Cambria" w:hAnsi="Cambria"/>
        </w:rPr>
        <w:t>Comité T) zijn jaarlijks verslag</w:t>
      </w:r>
      <w:r w:rsidR="00BC61B5" w:rsidRPr="00175141">
        <w:rPr>
          <w:rFonts w:ascii="Cambria" w:hAnsi="Cambria"/>
        </w:rPr>
        <w:t xml:space="preserve"> voor binnen de muren van de Senaat. Comité T is een </w:t>
      </w:r>
      <w:r w:rsidRPr="00175141">
        <w:rPr>
          <w:rFonts w:ascii="Cambria" w:hAnsi="Cambria"/>
        </w:rPr>
        <w:t>collectief</w:t>
      </w:r>
      <w:r w:rsidR="00BC61B5" w:rsidRPr="00175141">
        <w:rPr>
          <w:rFonts w:ascii="Cambria" w:hAnsi="Cambria"/>
        </w:rPr>
        <w:t xml:space="preserve"> bestaande uit verschillende actoren van het maatschappelijke middenveld (ngo’s, advocaten, academici)</w:t>
      </w:r>
      <w:r w:rsidR="00D117F8">
        <w:rPr>
          <w:rFonts w:ascii="Cambria" w:hAnsi="Cambria"/>
        </w:rPr>
        <w:t xml:space="preserve"> </w:t>
      </w:r>
      <w:r w:rsidR="00D117F8" w:rsidRPr="00D117F8">
        <w:rPr>
          <w:rFonts w:ascii="Cambria" w:hAnsi="Cambria"/>
        </w:rPr>
        <w:t xml:space="preserve">die zich </w:t>
      </w:r>
      <w:r w:rsidR="00D117F8">
        <w:rPr>
          <w:rFonts w:ascii="Cambria" w:hAnsi="Cambria"/>
        </w:rPr>
        <w:t>zorgen maken over het</w:t>
      </w:r>
      <w:r w:rsidR="00D117F8" w:rsidRPr="00D117F8">
        <w:rPr>
          <w:rFonts w:ascii="Cambria" w:hAnsi="Cambria"/>
        </w:rPr>
        <w:t xml:space="preserve"> </w:t>
      </w:r>
      <w:r w:rsidR="00D117F8">
        <w:rPr>
          <w:rFonts w:ascii="Cambria" w:hAnsi="Cambria"/>
        </w:rPr>
        <w:t>respect voor</w:t>
      </w:r>
      <w:r w:rsidR="00D117F8" w:rsidRPr="00D117F8">
        <w:rPr>
          <w:rFonts w:ascii="Cambria" w:hAnsi="Cambria"/>
        </w:rPr>
        <w:t xml:space="preserve"> de mensenrechten en de fundamentele vrijheden in de strijd tegen het terrorisme.</w:t>
      </w:r>
      <w:r w:rsidRPr="00175141">
        <w:rPr>
          <w:rFonts w:ascii="Cambria" w:hAnsi="Cambria"/>
        </w:rPr>
        <w:t xml:space="preserve"> </w:t>
      </w:r>
    </w:p>
    <w:p w:rsidR="00D117F8" w:rsidRDefault="00D117F8" w:rsidP="00175141">
      <w:pPr>
        <w:spacing w:after="0"/>
        <w:jc w:val="both"/>
        <w:rPr>
          <w:rFonts w:ascii="Cambria" w:hAnsi="Cambria"/>
        </w:rPr>
      </w:pPr>
    </w:p>
    <w:p w:rsidR="00D117F8" w:rsidRPr="00D117F8" w:rsidRDefault="00D117F8" w:rsidP="00D117F8">
      <w:pPr>
        <w:spacing w:after="0"/>
        <w:jc w:val="both"/>
        <w:rPr>
          <w:rFonts w:ascii="Cambria" w:hAnsi="Cambria"/>
        </w:rPr>
      </w:pPr>
      <w:r>
        <w:rPr>
          <w:rFonts w:ascii="Cambria" w:hAnsi="Cambria"/>
        </w:rPr>
        <w:t>Eigenlijk, s</w:t>
      </w:r>
      <w:r w:rsidRPr="00D117F8">
        <w:rPr>
          <w:rFonts w:ascii="Cambria" w:hAnsi="Cambria"/>
        </w:rPr>
        <w:t xml:space="preserve">inds vele jaren wordt ons wetgevend arsenaal in de strijd tegen het terrorisme versterkt. Sinds de recente aanslagen in Frankrijk en België is deze tendens in een stroomversnelling terecht gekomen. De strijd tegen het terrorisme is wel degelijk noodzakelijk, maar mag niet te koste gaan van het respect voor de mensenrechten. </w:t>
      </w:r>
    </w:p>
    <w:p w:rsidR="00D117F8" w:rsidRPr="00D117F8" w:rsidRDefault="00D117F8" w:rsidP="00D117F8">
      <w:pPr>
        <w:spacing w:after="0"/>
        <w:jc w:val="both"/>
        <w:rPr>
          <w:rFonts w:ascii="Cambria" w:hAnsi="Cambria"/>
        </w:rPr>
      </w:pPr>
    </w:p>
    <w:p w:rsidR="00D117F8" w:rsidRPr="00D117F8" w:rsidRDefault="00D117F8" w:rsidP="00D117F8">
      <w:pPr>
        <w:spacing w:after="0"/>
        <w:jc w:val="both"/>
        <w:rPr>
          <w:rFonts w:ascii="Cambria" w:hAnsi="Cambria"/>
        </w:rPr>
      </w:pPr>
      <w:r w:rsidRPr="00D117F8">
        <w:rPr>
          <w:rFonts w:ascii="Cambria" w:hAnsi="Cambria"/>
        </w:rPr>
        <w:t xml:space="preserve">Terrorisme is in de eerste plaats een ontkenning van onze fundamentele rechten en vrijheden. Een politieke of religieuze visie opleggen door middel van grove gewelddaden tegen onschuldige slachtoffers is een ontkenning van de fundamenten van de rechtsstaat. De strijd tegen het terrorisme is dus ook een strijd om onze fundamentele rechten en vrijheden te beschermen. De mensenrechten zijn niet enkel het kader waarbinnen een adequate, rechtvaardige en zo effectief mogelijke reactie tegen het terrorisme hoort te passen, maar de bescherming van onze fundamentele rechten en vrijheden zijn ook het doel van dergelijke wetgeving. </w:t>
      </w:r>
    </w:p>
    <w:p w:rsidR="00D117F8" w:rsidRPr="00D117F8" w:rsidRDefault="00D117F8" w:rsidP="00D117F8">
      <w:pPr>
        <w:spacing w:after="0"/>
        <w:jc w:val="both"/>
        <w:rPr>
          <w:rFonts w:ascii="Cambria" w:hAnsi="Cambria"/>
        </w:rPr>
      </w:pPr>
    </w:p>
    <w:p w:rsidR="00D117F8" w:rsidRPr="00D117F8" w:rsidRDefault="00D117F8" w:rsidP="00D117F8">
      <w:pPr>
        <w:spacing w:after="0"/>
        <w:jc w:val="both"/>
        <w:rPr>
          <w:rFonts w:ascii="Cambria" w:hAnsi="Cambria"/>
        </w:rPr>
      </w:pPr>
      <w:r w:rsidRPr="00D117F8">
        <w:rPr>
          <w:rFonts w:ascii="Cambria" w:hAnsi="Cambria"/>
        </w:rPr>
        <w:t xml:space="preserve">Toch stellen we vast dat in België bepaalde fundamentele rechten in vraag gesteld worden in naam van de veiligheid. Men kan zich afvragen of een bijna uitsluitend repressieve reactie op het fenomeen van terrorisme legitiem is. Maar de vraag stelt zich ook of dit wel de meest effectieve aanpak is. Het probleem is complexer, en kan niet opgelost worden vanuit een </w:t>
      </w:r>
      <w:proofErr w:type="spellStart"/>
      <w:r w:rsidRPr="00D117F8">
        <w:rPr>
          <w:rFonts w:ascii="Cambria" w:hAnsi="Cambria"/>
        </w:rPr>
        <w:t>veiligheidsdenken</w:t>
      </w:r>
      <w:proofErr w:type="spellEnd"/>
      <w:r w:rsidRPr="00D117F8">
        <w:rPr>
          <w:rFonts w:ascii="Cambria" w:hAnsi="Cambria"/>
        </w:rPr>
        <w:t xml:space="preserve"> alleen. Het politieke veiligheidsopbod lijkt op een toegegeven democratisch falen.  </w:t>
      </w:r>
    </w:p>
    <w:p w:rsidR="00D117F8" w:rsidRPr="00D117F8" w:rsidRDefault="00D117F8" w:rsidP="00D117F8">
      <w:pPr>
        <w:spacing w:after="0"/>
        <w:jc w:val="both"/>
        <w:rPr>
          <w:rFonts w:ascii="Cambria" w:hAnsi="Cambria"/>
        </w:rPr>
      </w:pPr>
    </w:p>
    <w:p w:rsidR="00D117F8" w:rsidRDefault="00D117F8" w:rsidP="00D117F8">
      <w:pPr>
        <w:spacing w:after="0"/>
        <w:jc w:val="both"/>
        <w:rPr>
          <w:rFonts w:ascii="Cambria" w:hAnsi="Cambria"/>
        </w:rPr>
      </w:pPr>
      <w:r w:rsidRPr="00D117F8">
        <w:rPr>
          <w:rFonts w:ascii="Cambria" w:hAnsi="Cambria"/>
        </w:rPr>
        <w:t xml:space="preserve">In het kader van de strijd tegen het terrorisme worden krijgen parket, politie en inlichtingendiensten steeds meer middelen en bevoegdheden, zonder dat altijd een rechterlijke tussenkomst vereist is. Dit zet de checks </w:t>
      </w:r>
      <w:proofErr w:type="spellStart"/>
      <w:r w:rsidRPr="00D117F8">
        <w:rPr>
          <w:rFonts w:ascii="Cambria" w:hAnsi="Cambria"/>
        </w:rPr>
        <w:t>and</w:t>
      </w:r>
      <w:proofErr w:type="spellEnd"/>
      <w:r w:rsidRPr="00D117F8">
        <w:rPr>
          <w:rFonts w:ascii="Cambria" w:hAnsi="Cambria"/>
        </w:rPr>
        <w:t xml:space="preserve"> </w:t>
      </w:r>
      <w:proofErr w:type="spellStart"/>
      <w:r w:rsidRPr="00D117F8">
        <w:rPr>
          <w:rFonts w:ascii="Cambria" w:hAnsi="Cambria"/>
        </w:rPr>
        <w:t>balances</w:t>
      </w:r>
      <w:proofErr w:type="spellEnd"/>
      <w:r w:rsidRPr="00D117F8">
        <w:rPr>
          <w:rFonts w:ascii="Cambria" w:hAnsi="Cambria"/>
        </w:rPr>
        <w:t xml:space="preserve"> onder druk, die zo van belang zijn wanneer de staat repressief optreedt.  De rol van de onafhankelijke en onpartijdige rechter, die waakt over de fundamentele rechten en vrijheden, is essentieel. </w:t>
      </w:r>
    </w:p>
    <w:p w:rsidR="00D117F8" w:rsidRPr="00D117F8" w:rsidRDefault="00D117F8" w:rsidP="00D117F8">
      <w:pPr>
        <w:spacing w:after="0"/>
        <w:jc w:val="both"/>
        <w:rPr>
          <w:rFonts w:ascii="Cambria" w:hAnsi="Cambria"/>
        </w:rPr>
      </w:pPr>
    </w:p>
    <w:p w:rsidR="00D117F8" w:rsidRPr="00D117F8" w:rsidRDefault="00D117F8" w:rsidP="00D117F8">
      <w:pPr>
        <w:spacing w:after="0"/>
        <w:jc w:val="both"/>
        <w:rPr>
          <w:rFonts w:ascii="Cambria" w:hAnsi="Cambria"/>
        </w:rPr>
      </w:pPr>
      <w:r w:rsidRPr="00D117F8">
        <w:rPr>
          <w:rFonts w:ascii="Cambria" w:hAnsi="Cambria"/>
        </w:rPr>
        <w:t xml:space="preserve">De aangenomen maatregelen tasten verschillende fundamentele rechten </w:t>
      </w:r>
      <w:proofErr w:type="gramStart"/>
      <w:r w:rsidRPr="00D117F8">
        <w:rPr>
          <w:rFonts w:ascii="Cambria" w:hAnsi="Cambria"/>
        </w:rPr>
        <w:t>aan :</w:t>
      </w:r>
      <w:proofErr w:type="gramEnd"/>
      <w:r w:rsidRPr="00D117F8">
        <w:rPr>
          <w:rFonts w:ascii="Cambria" w:hAnsi="Cambria"/>
        </w:rPr>
        <w:t xml:space="preserve"> het recht op vrijheid van meningsuiting, het recht op vrijheid van vreedzaam vergaderen, en het recht op bescherming van het privéleven. </w:t>
      </w:r>
    </w:p>
    <w:p w:rsidR="00C665F0" w:rsidRDefault="00D117F8" w:rsidP="00C665F0">
      <w:pPr>
        <w:spacing w:after="0"/>
        <w:jc w:val="both"/>
        <w:rPr>
          <w:rFonts w:ascii="Cambria" w:hAnsi="Cambria"/>
        </w:rPr>
      </w:pPr>
      <w:r>
        <w:rPr>
          <w:rFonts w:ascii="Cambria" w:hAnsi="Cambria"/>
        </w:rPr>
        <w:t xml:space="preserve">In zijn </w:t>
      </w:r>
      <w:r w:rsidR="003F2D40">
        <w:rPr>
          <w:rFonts w:ascii="Cambria" w:hAnsi="Cambria"/>
        </w:rPr>
        <w:t>verslag</w:t>
      </w:r>
      <w:r>
        <w:rPr>
          <w:rFonts w:ascii="Cambria" w:hAnsi="Cambria"/>
        </w:rPr>
        <w:t xml:space="preserve"> analyseert het Comité T</w:t>
      </w:r>
      <w:r w:rsidRPr="00D117F8">
        <w:rPr>
          <w:rFonts w:ascii="Cambria" w:hAnsi="Cambria"/>
        </w:rPr>
        <w:t xml:space="preserve"> een aantal wetgevende en beleidsmaatregelen van de voorbije jaren.</w:t>
      </w:r>
      <w:r w:rsidR="00F93DB7">
        <w:rPr>
          <w:rFonts w:ascii="Cambria" w:hAnsi="Cambria"/>
        </w:rPr>
        <w:t xml:space="preserve"> </w:t>
      </w:r>
      <w:r w:rsidR="00F93DB7" w:rsidRPr="00F93DB7">
        <w:rPr>
          <w:rFonts w:ascii="Cambria" w:hAnsi="Cambria"/>
        </w:rPr>
        <w:t xml:space="preserve">Het </w:t>
      </w:r>
      <w:r w:rsidR="00F93DB7">
        <w:rPr>
          <w:rFonts w:ascii="Cambria" w:hAnsi="Cambria"/>
        </w:rPr>
        <w:t xml:space="preserve">maakt dus </w:t>
      </w:r>
      <w:r w:rsidR="00F93DB7" w:rsidRPr="00D117F8">
        <w:rPr>
          <w:rFonts w:ascii="Cambria" w:hAnsi="Cambria"/>
        </w:rPr>
        <w:t>een stand van zaken op van de verschillende antiterreurmaatregelen die de wetgever de voorbije jaren aangenomen heeft.</w:t>
      </w:r>
      <w:r w:rsidR="00F93DB7">
        <w:rPr>
          <w:rFonts w:ascii="Cambria" w:hAnsi="Cambria"/>
        </w:rPr>
        <w:t xml:space="preserve"> Het Comité </w:t>
      </w:r>
      <w:r w:rsidR="00506CF5">
        <w:rPr>
          <w:rFonts w:ascii="Cambria" w:hAnsi="Cambria"/>
        </w:rPr>
        <w:t xml:space="preserve">heeft </w:t>
      </w:r>
      <w:r w:rsidR="00F93DB7">
        <w:rPr>
          <w:rFonts w:ascii="Cambria" w:hAnsi="Cambria"/>
        </w:rPr>
        <w:t xml:space="preserve">ook </w:t>
      </w:r>
      <w:r w:rsidR="00506CF5">
        <w:rPr>
          <w:rFonts w:ascii="Cambria" w:hAnsi="Cambria"/>
        </w:rPr>
        <w:t xml:space="preserve">zich geïnteresseerd </w:t>
      </w:r>
      <w:r w:rsidR="00F93DB7">
        <w:rPr>
          <w:rFonts w:ascii="Cambria" w:hAnsi="Cambria"/>
        </w:rPr>
        <w:t xml:space="preserve">op </w:t>
      </w:r>
      <w:r w:rsidR="00F93DB7" w:rsidRPr="00D117F8">
        <w:rPr>
          <w:rFonts w:ascii="Cambria" w:hAnsi="Cambria"/>
        </w:rPr>
        <w:t xml:space="preserve">preventiemechanismen opgericht in het kader van de strijd tegen </w:t>
      </w:r>
      <w:proofErr w:type="gramStart"/>
      <w:r w:rsidR="00F93DB7" w:rsidRPr="00D117F8">
        <w:rPr>
          <w:rFonts w:ascii="Cambria" w:hAnsi="Cambria"/>
        </w:rPr>
        <w:t>radicalisering</w:t>
      </w:r>
      <w:r w:rsidR="00F93DB7">
        <w:rPr>
          <w:rFonts w:ascii="Cambria" w:hAnsi="Cambria"/>
        </w:rPr>
        <w:t xml:space="preserve"> </w:t>
      </w:r>
      <w:r w:rsidR="00F93DB7" w:rsidRPr="00F93DB7">
        <w:rPr>
          <w:rFonts w:ascii="Cambria" w:hAnsi="Cambria"/>
        </w:rPr>
        <w:t>;</w:t>
      </w:r>
      <w:proofErr w:type="gramEnd"/>
      <w:r w:rsidR="00F93DB7" w:rsidRPr="00F93DB7">
        <w:rPr>
          <w:rFonts w:ascii="Cambria" w:hAnsi="Cambria"/>
        </w:rPr>
        <w:t xml:space="preserve"> benadrukt en analyseert </w:t>
      </w:r>
      <w:r w:rsidR="00F93DB7" w:rsidRPr="00D117F8">
        <w:rPr>
          <w:rFonts w:ascii="Cambria" w:hAnsi="Cambria"/>
        </w:rPr>
        <w:t xml:space="preserve">de impact van antiterreurmaatregelen in het domein van </w:t>
      </w:r>
      <w:r w:rsidR="00F93DB7" w:rsidRPr="00D117F8">
        <w:rPr>
          <w:rFonts w:ascii="Cambria" w:hAnsi="Cambria"/>
        </w:rPr>
        <w:lastRenderedPageBreak/>
        <w:t xml:space="preserve">het </w:t>
      </w:r>
      <w:r w:rsidR="00F93DB7">
        <w:rPr>
          <w:rFonts w:ascii="Cambria" w:hAnsi="Cambria"/>
        </w:rPr>
        <w:t>vreemdelingenrecht</w:t>
      </w:r>
      <w:r w:rsidR="00F93DB7" w:rsidRPr="00F93DB7">
        <w:rPr>
          <w:rFonts w:ascii="Cambria" w:hAnsi="Cambria"/>
        </w:rPr>
        <w:t xml:space="preserve">; </w:t>
      </w:r>
      <w:r w:rsidR="00F93DB7">
        <w:rPr>
          <w:rFonts w:ascii="Cambria" w:hAnsi="Cambria"/>
        </w:rPr>
        <w:t>komt</w:t>
      </w:r>
      <w:r w:rsidR="00F93DB7" w:rsidRPr="00D117F8">
        <w:rPr>
          <w:rFonts w:ascii="Cambria" w:hAnsi="Cambria"/>
        </w:rPr>
        <w:t xml:space="preserve"> terug op de behandeling van “geradicaliseerde” gedetineerden. </w:t>
      </w:r>
      <w:r w:rsidR="00F93DB7">
        <w:rPr>
          <w:rFonts w:ascii="Cambria" w:hAnsi="Cambria"/>
        </w:rPr>
        <w:t xml:space="preserve">Ten slotte </w:t>
      </w:r>
      <w:r w:rsidR="00C665F0">
        <w:rPr>
          <w:rFonts w:ascii="Cambria" w:hAnsi="Cambria"/>
        </w:rPr>
        <w:t xml:space="preserve">zijn de </w:t>
      </w:r>
      <w:r w:rsidR="00F93DB7" w:rsidRPr="00D117F8">
        <w:rPr>
          <w:rFonts w:ascii="Cambria" w:hAnsi="Cambria"/>
        </w:rPr>
        <w:t>internationale aspecten van de strijd tegen het terrorisme</w:t>
      </w:r>
      <w:r w:rsidR="00506CF5">
        <w:rPr>
          <w:rFonts w:ascii="Cambria" w:hAnsi="Cambria"/>
        </w:rPr>
        <w:t xml:space="preserve"> – en vooral </w:t>
      </w:r>
      <w:r w:rsidR="00506CF5" w:rsidRPr="00D117F8">
        <w:rPr>
          <w:rFonts w:ascii="Cambria" w:hAnsi="Cambria"/>
        </w:rPr>
        <w:t>de bescherming van Belgische burgers die vastgehouden worden in kampen in het noordoo</w:t>
      </w:r>
      <w:r w:rsidR="00506CF5">
        <w:rPr>
          <w:rFonts w:ascii="Cambria" w:hAnsi="Cambria"/>
        </w:rPr>
        <w:t xml:space="preserve">sten van Syrië, in het licht van het internationaal recht – </w:t>
      </w:r>
      <w:r w:rsidR="00C665F0">
        <w:rPr>
          <w:rFonts w:ascii="Cambria" w:hAnsi="Cambria"/>
        </w:rPr>
        <w:t xml:space="preserve">besproken </w:t>
      </w:r>
    </w:p>
    <w:p w:rsidR="00D117F8" w:rsidRPr="00D117F8" w:rsidRDefault="00D117F8" w:rsidP="00D117F8">
      <w:pPr>
        <w:spacing w:after="0"/>
        <w:jc w:val="both"/>
        <w:rPr>
          <w:rFonts w:ascii="Cambria" w:hAnsi="Cambria"/>
        </w:rPr>
      </w:pPr>
    </w:p>
    <w:p w:rsidR="00D117F8" w:rsidRPr="00D117F8" w:rsidRDefault="00C665F0" w:rsidP="00D117F8">
      <w:pPr>
        <w:spacing w:after="0"/>
        <w:jc w:val="both"/>
        <w:rPr>
          <w:rFonts w:ascii="Cambria" w:hAnsi="Cambria"/>
        </w:rPr>
      </w:pPr>
      <w:r>
        <w:rPr>
          <w:rFonts w:ascii="Cambria" w:hAnsi="Cambria"/>
        </w:rPr>
        <w:t xml:space="preserve">Doorheen zijn </w:t>
      </w:r>
      <w:r w:rsidR="003F2D40">
        <w:rPr>
          <w:rFonts w:ascii="Cambria" w:hAnsi="Cambria"/>
        </w:rPr>
        <w:t>verslag</w:t>
      </w:r>
      <w:r>
        <w:rPr>
          <w:rFonts w:ascii="Cambria" w:hAnsi="Cambria"/>
        </w:rPr>
        <w:t xml:space="preserve"> stelt het Comité T</w:t>
      </w:r>
      <w:r w:rsidR="00D117F8" w:rsidRPr="00D117F8">
        <w:rPr>
          <w:rFonts w:ascii="Cambria" w:hAnsi="Cambria"/>
        </w:rPr>
        <w:t xml:space="preserve"> vast dat er zich een tendens aftekent van een intensieve ontwikkeling van controversiële maatregelen, in parallel met een net zo intensieve juridische weerstand.</w:t>
      </w:r>
    </w:p>
    <w:p w:rsidR="00175141" w:rsidRDefault="00175141" w:rsidP="00175141">
      <w:pPr>
        <w:spacing w:after="0"/>
        <w:jc w:val="both"/>
        <w:rPr>
          <w:rFonts w:ascii="Cambria" w:hAnsi="Cambria"/>
        </w:rPr>
      </w:pPr>
    </w:p>
    <w:p w:rsidR="00BC61B5" w:rsidRPr="00175141" w:rsidRDefault="00BC61B5" w:rsidP="00175141">
      <w:pPr>
        <w:spacing w:after="0"/>
        <w:jc w:val="both"/>
        <w:rPr>
          <w:rFonts w:ascii="Cambria" w:hAnsi="Cambria"/>
        </w:rPr>
      </w:pPr>
      <w:r w:rsidRPr="00175141">
        <w:rPr>
          <w:rFonts w:ascii="Cambria" w:hAnsi="Cambria"/>
        </w:rPr>
        <w:t>Voor meer infor</w:t>
      </w:r>
      <w:r w:rsidR="00C665F0">
        <w:rPr>
          <w:rFonts w:ascii="Cambria" w:hAnsi="Cambria"/>
        </w:rPr>
        <w:t>matie kan u het 2020 rapport</w:t>
      </w:r>
      <w:r w:rsidRPr="00175141">
        <w:rPr>
          <w:rFonts w:ascii="Cambria" w:hAnsi="Cambria"/>
        </w:rPr>
        <w:t xml:space="preserve"> van Comité T raadplegen op de website </w:t>
      </w:r>
      <w:hyperlink r:id="rId6" w:history="1">
        <w:r w:rsidRPr="00175141">
          <w:rPr>
            <w:rStyle w:val="Lienhypertexte"/>
            <w:rFonts w:ascii="Cambria" w:hAnsi="Cambria"/>
          </w:rPr>
          <w:t>www.comitet.be</w:t>
        </w:r>
      </w:hyperlink>
      <w:r w:rsidR="00506CF5">
        <w:rPr>
          <w:rFonts w:ascii="Cambria" w:hAnsi="Cambria"/>
        </w:rPr>
        <w:t xml:space="preserve"> </w:t>
      </w:r>
      <w:r w:rsidR="00C665F0">
        <w:rPr>
          <w:rFonts w:ascii="Cambria" w:hAnsi="Cambria"/>
        </w:rPr>
        <w:t>en zijn samenvatting krijgen (op vraag aan asinon@liguedh.be).</w:t>
      </w:r>
    </w:p>
    <w:p w:rsidR="00BC61B5" w:rsidRPr="00175141" w:rsidRDefault="00BC61B5" w:rsidP="00175141">
      <w:pPr>
        <w:spacing w:after="0"/>
        <w:jc w:val="both"/>
        <w:rPr>
          <w:rFonts w:ascii="Cambria" w:hAnsi="Cambria"/>
        </w:rPr>
      </w:pPr>
    </w:p>
    <w:sectPr w:rsidR="00BC61B5" w:rsidRPr="0017514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12F" w:rsidRDefault="0072412F" w:rsidP="00175141">
      <w:pPr>
        <w:spacing w:after="0" w:line="240" w:lineRule="auto"/>
      </w:pPr>
      <w:r>
        <w:separator/>
      </w:r>
    </w:p>
  </w:endnote>
  <w:endnote w:type="continuationSeparator" w:id="0">
    <w:p w:rsidR="0072412F" w:rsidRDefault="0072412F" w:rsidP="00175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12F" w:rsidRDefault="0072412F" w:rsidP="00175141">
      <w:pPr>
        <w:spacing w:after="0" w:line="240" w:lineRule="auto"/>
      </w:pPr>
      <w:r>
        <w:separator/>
      </w:r>
    </w:p>
  </w:footnote>
  <w:footnote w:type="continuationSeparator" w:id="0">
    <w:p w:rsidR="0072412F" w:rsidRDefault="0072412F" w:rsidP="00175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9B4" w:rsidRDefault="00175141" w:rsidP="00E379B4">
    <w:pPr>
      <w:pStyle w:val="En-tte"/>
      <w:jc w:val="center"/>
    </w:pPr>
    <w:r>
      <w:rPr>
        <w:noProof/>
        <w:lang w:val="en-US"/>
      </w:rPr>
      <w:drawing>
        <wp:inline distT="0" distB="0" distL="0" distR="0" wp14:anchorId="3E21F301" wp14:editId="37744DA6">
          <wp:extent cx="3333750" cy="1100138"/>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itet_logo.jpg"/>
                  <pic:cNvPicPr/>
                </pic:nvPicPr>
                <pic:blipFill>
                  <a:blip r:embed="rId1">
                    <a:extLst>
                      <a:ext uri="{28A0092B-C50C-407E-A947-70E740481C1C}">
                        <a14:useLocalDpi xmlns:a14="http://schemas.microsoft.com/office/drawing/2010/main" val="0"/>
                      </a:ext>
                    </a:extLst>
                  </a:blip>
                  <a:stretch>
                    <a:fillRect/>
                  </a:stretch>
                </pic:blipFill>
                <pic:spPr>
                  <a:xfrm>
                    <a:off x="0" y="0"/>
                    <a:ext cx="3494818" cy="1153290"/>
                  </a:xfrm>
                  <a:prstGeom prst="rect">
                    <a:avLst/>
                  </a:prstGeom>
                </pic:spPr>
              </pic:pic>
            </a:graphicData>
          </a:graphic>
        </wp:inline>
      </w:drawing>
    </w:r>
  </w:p>
  <w:p w:rsidR="00175141" w:rsidRDefault="0072412F" w:rsidP="00E379B4">
    <w:pPr>
      <w:pStyle w:val="En-tte"/>
    </w:pPr>
    <w:r>
      <w:pict>
        <v:rect id="_x0000_i1025" style="width:453.6pt;height:1.5pt;mso-position-horizontal:absolute" o:hralign="center" o:hrstd="t" o:hrnoshade="t" o:hr="t" fillcolor="#960000" stroked="f"/>
      </w:pict>
    </w:r>
  </w:p>
  <w:p w:rsidR="00175141" w:rsidRDefault="00175141" w:rsidP="00175141">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1B5"/>
    <w:rsid w:val="000E4ED2"/>
    <w:rsid w:val="000F1381"/>
    <w:rsid w:val="001221A2"/>
    <w:rsid w:val="00175141"/>
    <w:rsid w:val="002F151A"/>
    <w:rsid w:val="002F664F"/>
    <w:rsid w:val="003F0426"/>
    <w:rsid w:val="003F2D40"/>
    <w:rsid w:val="00506CF5"/>
    <w:rsid w:val="006626A5"/>
    <w:rsid w:val="006D2DC7"/>
    <w:rsid w:val="0072412F"/>
    <w:rsid w:val="00781666"/>
    <w:rsid w:val="00947907"/>
    <w:rsid w:val="009704B6"/>
    <w:rsid w:val="009713E2"/>
    <w:rsid w:val="00A1795C"/>
    <w:rsid w:val="00A27680"/>
    <w:rsid w:val="00B13C59"/>
    <w:rsid w:val="00BC2A5E"/>
    <w:rsid w:val="00BC61B5"/>
    <w:rsid w:val="00C665F0"/>
    <w:rsid w:val="00D117F8"/>
    <w:rsid w:val="00E379B4"/>
    <w:rsid w:val="00F254A1"/>
    <w:rsid w:val="00F93DB7"/>
    <w:rsid w:val="00FA7AB8"/>
    <w:rsid w:val="00FC72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05AD58-9C87-40F5-85D6-7837CC96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1B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C61B5"/>
    <w:rPr>
      <w:color w:val="0563C1" w:themeColor="hyperlink"/>
      <w:u w:val="single"/>
    </w:rPr>
  </w:style>
  <w:style w:type="paragraph" w:styleId="En-tte">
    <w:name w:val="header"/>
    <w:basedOn w:val="Normal"/>
    <w:link w:val="En-tteCar"/>
    <w:uiPriority w:val="99"/>
    <w:unhideWhenUsed/>
    <w:rsid w:val="00175141"/>
    <w:pPr>
      <w:tabs>
        <w:tab w:val="center" w:pos="4536"/>
        <w:tab w:val="right" w:pos="9072"/>
      </w:tabs>
      <w:spacing w:after="0" w:line="240" w:lineRule="auto"/>
    </w:pPr>
  </w:style>
  <w:style w:type="character" w:customStyle="1" w:styleId="En-tteCar">
    <w:name w:val="En-tête Car"/>
    <w:basedOn w:val="Policepardfaut"/>
    <w:link w:val="En-tte"/>
    <w:uiPriority w:val="99"/>
    <w:rsid w:val="00175141"/>
  </w:style>
  <w:style w:type="paragraph" w:styleId="Pieddepage">
    <w:name w:val="footer"/>
    <w:basedOn w:val="Normal"/>
    <w:link w:val="PieddepageCar"/>
    <w:uiPriority w:val="99"/>
    <w:unhideWhenUsed/>
    <w:rsid w:val="001751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5141"/>
  </w:style>
  <w:style w:type="character" w:styleId="Marquedecommentaire">
    <w:name w:val="annotation reference"/>
    <w:basedOn w:val="Policepardfaut"/>
    <w:uiPriority w:val="99"/>
    <w:semiHidden/>
    <w:unhideWhenUsed/>
    <w:rsid w:val="00F93DB7"/>
    <w:rPr>
      <w:sz w:val="16"/>
      <w:szCs w:val="16"/>
    </w:rPr>
  </w:style>
  <w:style w:type="paragraph" w:styleId="Commentaire">
    <w:name w:val="annotation text"/>
    <w:basedOn w:val="Normal"/>
    <w:link w:val="CommentaireCar"/>
    <w:uiPriority w:val="99"/>
    <w:semiHidden/>
    <w:unhideWhenUsed/>
    <w:rsid w:val="00F93DB7"/>
    <w:pPr>
      <w:spacing w:line="240" w:lineRule="auto"/>
    </w:pPr>
    <w:rPr>
      <w:sz w:val="20"/>
      <w:szCs w:val="20"/>
    </w:rPr>
  </w:style>
  <w:style w:type="character" w:customStyle="1" w:styleId="CommentaireCar">
    <w:name w:val="Commentaire Car"/>
    <w:basedOn w:val="Policepardfaut"/>
    <w:link w:val="Commentaire"/>
    <w:uiPriority w:val="99"/>
    <w:semiHidden/>
    <w:rsid w:val="00F93DB7"/>
    <w:rPr>
      <w:sz w:val="20"/>
      <w:szCs w:val="20"/>
    </w:rPr>
  </w:style>
  <w:style w:type="paragraph" w:styleId="Objetducommentaire">
    <w:name w:val="annotation subject"/>
    <w:basedOn w:val="Commentaire"/>
    <w:next w:val="Commentaire"/>
    <w:link w:val="ObjetducommentaireCar"/>
    <w:uiPriority w:val="99"/>
    <w:semiHidden/>
    <w:unhideWhenUsed/>
    <w:rsid w:val="00F93DB7"/>
    <w:rPr>
      <w:b/>
      <w:bCs/>
    </w:rPr>
  </w:style>
  <w:style w:type="character" w:customStyle="1" w:styleId="ObjetducommentaireCar">
    <w:name w:val="Objet du commentaire Car"/>
    <w:basedOn w:val="CommentaireCar"/>
    <w:link w:val="Objetducommentaire"/>
    <w:uiPriority w:val="99"/>
    <w:semiHidden/>
    <w:rsid w:val="00F93DB7"/>
    <w:rPr>
      <w:b/>
      <w:bCs/>
      <w:sz w:val="20"/>
      <w:szCs w:val="20"/>
    </w:rPr>
  </w:style>
  <w:style w:type="paragraph" w:styleId="Rvision">
    <w:name w:val="Revision"/>
    <w:hidden/>
    <w:uiPriority w:val="99"/>
    <w:semiHidden/>
    <w:rsid w:val="00F93DB7"/>
    <w:pPr>
      <w:spacing w:after="0" w:line="240" w:lineRule="auto"/>
    </w:pPr>
  </w:style>
  <w:style w:type="paragraph" w:styleId="Textedebulles">
    <w:name w:val="Balloon Text"/>
    <w:basedOn w:val="Normal"/>
    <w:link w:val="TextedebullesCar"/>
    <w:uiPriority w:val="99"/>
    <w:semiHidden/>
    <w:unhideWhenUsed/>
    <w:rsid w:val="00F93DB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3D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39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itet.b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3201</Characters>
  <Application>Microsoft Office Word</Application>
  <DocSecurity>0</DocSecurity>
  <Lines>26</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Eelen</dc:creator>
  <cp:keywords/>
  <dc:description/>
  <cp:lastModifiedBy>LDH comite T</cp:lastModifiedBy>
  <cp:revision>2</cp:revision>
  <cp:lastPrinted>2019-03-12T18:10:00Z</cp:lastPrinted>
  <dcterms:created xsi:type="dcterms:W3CDTF">2020-03-12T12:47:00Z</dcterms:created>
  <dcterms:modified xsi:type="dcterms:W3CDTF">2020-03-12T12:47:00Z</dcterms:modified>
</cp:coreProperties>
</file>